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附件一：</w:t>
      </w:r>
    </w:p>
    <w:p>
      <w:pPr>
        <w:jc w:val="center"/>
        <w:rPr>
          <w:rFonts w:eastAsia="仿宋_GB2312"/>
          <w:b/>
          <w:sz w:val="32"/>
          <w:szCs w:val="30"/>
        </w:rPr>
      </w:pPr>
      <w:r>
        <w:rPr>
          <w:rFonts w:hint="eastAsia" w:eastAsia="仿宋_GB2312"/>
          <w:b/>
          <w:sz w:val="32"/>
          <w:szCs w:val="30"/>
        </w:rPr>
        <w:t>202</w:t>
      </w:r>
      <w:r>
        <w:rPr>
          <w:rFonts w:eastAsia="仿宋_GB2312"/>
          <w:b/>
          <w:sz w:val="32"/>
          <w:szCs w:val="30"/>
        </w:rPr>
        <w:t>2</w:t>
      </w:r>
      <w:r>
        <w:rPr>
          <w:rFonts w:hint="eastAsia" w:eastAsia="仿宋_GB2312"/>
          <w:b/>
          <w:sz w:val="32"/>
          <w:szCs w:val="30"/>
        </w:rPr>
        <w:t>中国物流平台发展报告框架结构</w:t>
      </w:r>
    </w:p>
    <w:p>
      <w:pPr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一</w:t>
      </w:r>
      <w:r>
        <w:rPr>
          <w:rFonts w:eastAsia="仿宋_GB2312"/>
          <w:b/>
          <w:sz w:val="30"/>
          <w:szCs w:val="30"/>
        </w:rPr>
        <w:t>、</w:t>
      </w:r>
      <w:r>
        <w:rPr>
          <w:rFonts w:hint="eastAsia" w:eastAsia="仿宋_GB2312"/>
          <w:b/>
          <w:sz w:val="30"/>
          <w:szCs w:val="30"/>
        </w:rPr>
        <w:t>行业报告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年物流平台发展回顾与未来展望</w:t>
      </w:r>
    </w:p>
    <w:p>
      <w:pPr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二</w:t>
      </w:r>
      <w:r>
        <w:rPr>
          <w:rFonts w:eastAsia="仿宋_GB2312"/>
          <w:b/>
          <w:sz w:val="30"/>
          <w:szCs w:val="30"/>
        </w:rPr>
        <w:t>、</w:t>
      </w:r>
      <w:r>
        <w:rPr>
          <w:rFonts w:hint="eastAsia" w:eastAsia="仿宋_GB2312"/>
          <w:b/>
          <w:sz w:val="30"/>
          <w:szCs w:val="30"/>
        </w:rPr>
        <w:t>专题报告（可任选题目）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年仓储平台发展回顾与未来展望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年物流S</w:t>
      </w:r>
      <w:r>
        <w:rPr>
          <w:rFonts w:eastAsia="仿宋_GB2312"/>
          <w:sz w:val="30"/>
          <w:szCs w:val="30"/>
        </w:rPr>
        <w:t>aaS</w:t>
      </w:r>
      <w:r>
        <w:rPr>
          <w:rFonts w:hint="eastAsia" w:eastAsia="仿宋_GB2312"/>
          <w:sz w:val="30"/>
          <w:szCs w:val="30"/>
        </w:rPr>
        <w:t>服务平台发展回顾与未来展望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年网络货运平台发展回顾与未来展望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年园区平台发展回顾与未来展望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年港口平台发展回顾与未来展望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年大宗商品平台发展回顾与未来展望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年网络货运平台发展回顾与未来展望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22</w:t>
      </w:r>
      <w:r>
        <w:rPr>
          <w:rFonts w:hint="eastAsia" w:eastAsia="仿宋_GB2312"/>
          <w:sz w:val="30"/>
          <w:szCs w:val="30"/>
        </w:rPr>
        <w:t>年物流技术支撑平台发展回顾与未来展望</w:t>
      </w:r>
    </w:p>
    <w:p>
      <w:pPr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三</w:t>
      </w:r>
      <w:r>
        <w:rPr>
          <w:rFonts w:eastAsia="仿宋_GB2312"/>
          <w:b/>
          <w:sz w:val="30"/>
          <w:szCs w:val="30"/>
        </w:rPr>
        <w:t>、</w:t>
      </w:r>
      <w:r>
        <w:rPr>
          <w:rFonts w:hint="eastAsia" w:eastAsia="仿宋_GB2312"/>
          <w:b/>
          <w:sz w:val="30"/>
          <w:szCs w:val="30"/>
        </w:rPr>
        <w:t>特约报告（可自拟题目和方向）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平台经济下数据安全</w:t>
      </w:r>
      <w:r>
        <w:rPr>
          <w:rFonts w:eastAsia="仿宋_GB2312"/>
          <w:sz w:val="30"/>
          <w:szCs w:val="30"/>
        </w:rPr>
        <w:t>问题探讨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物流平台信用体系建设研讨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平台化趋势下车后市场发展机遇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传统物流企业平台化转型</w:t>
      </w:r>
      <w:r>
        <w:rPr>
          <w:rFonts w:eastAsia="仿宋_GB2312"/>
          <w:sz w:val="30"/>
          <w:szCs w:val="30"/>
        </w:rPr>
        <w:t>之路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金融、</w:t>
      </w:r>
      <w:r>
        <w:rPr>
          <w:rFonts w:eastAsia="仿宋_GB2312"/>
          <w:sz w:val="30"/>
          <w:szCs w:val="30"/>
        </w:rPr>
        <w:t>保险</w:t>
      </w:r>
      <w:r>
        <w:rPr>
          <w:rFonts w:hint="eastAsia" w:eastAsia="仿宋_GB2312"/>
          <w:sz w:val="30"/>
          <w:szCs w:val="30"/>
        </w:rPr>
        <w:t>等增值服务在</w:t>
      </w:r>
      <w:r>
        <w:rPr>
          <w:rFonts w:eastAsia="仿宋_GB2312"/>
          <w:sz w:val="30"/>
          <w:szCs w:val="30"/>
        </w:rPr>
        <w:t>网络货运平台</w:t>
      </w:r>
      <w:r>
        <w:rPr>
          <w:rFonts w:hint="eastAsia" w:eastAsia="仿宋_GB2312"/>
          <w:sz w:val="30"/>
          <w:szCs w:val="30"/>
        </w:rPr>
        <w:t>中的落地应用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大数据</w:t>
      </w:r>
      <w:r>
        <w:rPr>
          <w:rFonts w:hint="eastAsia" w:eastAsia="仿宋_GB2312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区块链</w:t>
      </w:r>
      <w:r>
        <w:rPr>
          <w:rFonts w:hint="eastAsia" w:eastAsia="仿宋_GB2312"/>
          <w:sz w:val="30"/>
          <w:szCs w:val="30"/>
        </w:rPr>
        <w:t>等</w:t>
      </w:r>
      <w:r>
        <w:rPr>
          <w:rFonts w:eastAsia="仿宋_GB2312"/>
          <w:sz w:val="30"/>
          <w:szCs w:val="30"/>
        </w:rPr>
        <w:t>新技术在物流平台业务中的</w:t>
      </w:r>
      <w:r>
        <w:rPr>
          <w:rFonts w:hint="eastAsia" w:eastAsia="仿宋_GB2312"/>
          <w:sz w:val="30"/>
          <w:szCs w:val="30"/>
        </w:rPr>
        <w:t>应用场景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供应链金融</w:t>
      </w:r>
      <w:r>
        <w:rPr>
          <w:rFonts w:eastAsia="仿宋_GB2312"/>
          <w:sz w:val="30"/>
          <w:szCs w:val="30"/>
        </w:rPr>
        <w:t>在物流平台领域的发展机遇</w:t>
      </w:r>
    </w:p>
    <w:p>
      <w:pPr>
        <w:ind w:firstLine="42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……</w:t>
      </w:r>
    </w:p>
    <w:p>
      <w:pPr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附件二</w:t>
      </w:r>
    </w:p>
    <w:p>
      <w:pPr>
        <w:jc w:val="center"/>
        <w:rPr>
          <w:rFonts w:eastAsia="仿宋_GB2312"/>
          <w:b/>
          <w:sz w:val="32"/>
          <w:szCs w:val="30"/>
        </w:rPr>
      </w:pPr>
      <w:r>
        <w:rPr>
          <w:rFonts w:hint="eastAsia" w:eastAsia="仿宋_GB2312"/>
          <w:b/>
          <w:sz w:val="32"/>
          <w:szCs w:val="30"/>
        </w:rPr>
        <w:t>202</w:t>
      </w:r>
      <w:r>
        <w:rPr>
          <w:rFonts w:eastAsia="仿宋_GB2312"/>
          <w:b/>
          <w:sz w:val="32"/>
          <w:szCs w:val="30"/>
        </w:rPr>
        <w:t>2</w:t>
      </w:r>
      <w:r>
        <w:rPr>
          <w:rFonts w:hint="eastAsia" w:eastAsia="仿宋_GB2312"/>
          <w:b/>
          <w:sz w:val="32"/>
          <w:szCs w:val="30"/>
        </w:rPr>
        <w:t>中国物流平台发展报告投稿回执</w:t>
      </w:r>
    </w:p>
    <w:tbl>
      <w:tblPr>
        <w:tblStyle w:val="7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2053"/>
        <w:gridCol w:w="2054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作者姓名及单位</w:t>
            </w:r>
          </w:p>
        </w:tc>
        <w:tc>
          <w:tcPr>
            <w:tcW w:w="6161" w:type="dxa"/>
            <w:gridSpan w:val="3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（可多个，按发稿顺序填写）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报告类型</w:t>
            </w:r>
          </w:p>
        </w:tc>
        <w:tc>
          <w:tcPr>
            <w:tcW w:w="6161" w:type="dxa"/>
            <w:gridSpan w:val="3"/>
          </w:tcPr>
          <w:p>
            <w:pPr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□</w:t>
            </w:r>
            <w:r>
              <w:rPr>
                <w:rFonts w:hint="eastAsia" w:eastAsia="仿宋_GB2312"/>
                <w:bCs/>
                <w:sz w:val="30"/>
                <w:szCs w:val="30"/>
              </w:rPr>
              <w:t xml:space="preserve">专题报告 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□</w:t>
            </w:r>
            <w:r>
              <w:rPr>
                <w:rFonts w:hint="eastAsia" w:eastAsia="仿宋_GB2312"/>
                <w:bCs/>
                <w:sz w:val="30"/>
                <w:szCs w:val="30"/>
              </w:rPr>
              <w:t>特约报告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报告题目</w:t>
            </w:r>
          </w:p>
        </w:tc>
        <w:tc>
          <w:tcPr>
            <w:tcW w:w="6161" w:type="dxa"/>
            <w:gridSpan w:val="3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联系人</w:t>
            </w:r>
          </w:p>
        </w:tc>
        <w:tc>
          <w:tcPr>
            <w:tcW w:w="2053" w:type="dxa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4" w:type="dxa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联系电话</w:t>
            </w:r>
          </w:p>
        </w:tc>
        <w:tc>
          <w:tcPr>
            <w:tcW w:w="2054" w:type="dxa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预计交稿时间</w:t>
            </w:r>
          </w:p>
        </w:tc>
        <w:tc>
          <w:tcPr>
            <w:tcW w:w="2053" w:type="dxa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054" w:type="dxa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预计稿件字数</w:t>
            </w:r>
          </w:p>
        </w:tc>
        <w:tc>
          <w:tcPr>
            <w:tcW w:w="2054" w:type="dxa"/>
          </w:tcPr>
          <w:p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ind w:firstLine="420"/>
        <w:rPr>
          <w:rFonts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MDY5ZmU4ZjRjZjIzZmVmYjYxYzA3Nzg3OWM0YTYifQ=="/>
  </w:docVars>
  <w:rsids>
    <w:rsidRoot w:val="00326031"/>
    <w:rsid w:val="00000F89"/>
    <w:rsid w:val="00002D5F"/>
    <w:rsid w:val="00004799"/>
    <w:rsid w:val="000067D2"/>
    <w:rsid w:val="000127A9"/>
    <w:rsid w:val="000135BB"/>
    <w:rsid w:val="000235F9"/>
    <w:rsid w:val="000332CF"/>
    <w:rsid w:val="00037372"/>
    <w:rsid w:val="000410FB"/>
    <w:rsid w:val="00056A81"/>
    <w:rsid w:val="00057E02"/>
    <w:rsid w:val="00060B78"/>
    <w:rsid w:val="0006343A"/>
    <w:rsid w:val="00084AF1"/>
    <w:rsid w:val="000858C9"/>
    <w:rsid w:val="00086111"/>
    <w:rsid w:val="000A436F"/>
    <w:rsid w:val="000A66D2"/>
    <w:rsid w:val="000A7EEB"/>
    <w:rsid w:val="000B64C1"/>
    <w:rsid w:val="000C2070"/>
    <w:rsid w:val="000D01E1"/>
    <w:rsid w:val="000D0F7E"/>
    <w:rsid w:val="000D1CF6"/>
    <w:rsid w:val="000D593B"/>
    <w:rsid w:val="000E2FA7"/>
    <w:rsid w:val="000E46FF"/>
    <w:rsid w:val="000E54BC"/>
    <w:rsid w:val="000E773A"/>
    <w:rsid w:val="00101780"/>
    <w:rsid w:val="001154BA"/>
    <w:rsid w:val="00140A08"/>
    <w:rsid w:val="00147C75"/>
    <w:rsid w:val="00152A94"/>
    <w:rsid w:val="00170B27"/>
    <w:rsid w:val="00182669"/>
    <w:rsid w:val="00184FBF"/>
    <w:rsid w:val="001A0416"/>
    <w:rsid w:val="001A28B0"/>
    <w:rsid w:val="001A7892"/>
    <w:rsid w:val="001C0A6B"/>
    <w:rsid w:val="001C138B"/>
    <w:rsid w:val="001C1F10"/>
    <w:rsid w:val="001C470A"/>
    <w:rsid w:val="001D7FE7"/>
    <w:rsid w:val="001E25AA"/>
    <w:rsid w:val="001E5ED1"/>
    <w:rsid w:val="001F19D4"/>
    <w:rsid w:val="001F1E9C"/>
    <w:rsid w:val="001F3A58"/>
    <w:rsid w:val="00215363"/>
    <w:rsid w:val="00217EDE"/>
    <w:rsid w:val="00240857"/>
    <w:rsid w:val="00243BAD"/>
    <w:rsid w:val="00286B3E"/>
    <w:rsid w:val="002A6B53"/>
    <w:rsid w:val="002C658C"/>
    <w:rsid w:val="002D0F23"/>
    <w:rsid w:val="002D7087"/>
    <w:rsid w:val="002E07E9"/>
    <w:rsid w:val="002E11E4"/>
    <w:rsid w:val="002E7D4D"/>
    <w:rsid w:val="002F7788"/>
    <w:rsid w:val="00307D88"/>
    <w:rsid w:val="00310E40"/>
    <w:rsid w:val="00316F02"/>
    <w:rsid w:val="00321D7A"/>
    <w:rsid w:val="00326031"/>
    <w:rsid w:val="0033147B"/>
    <w:rsid w:val="0034490E"/>
    <w:rsid w:val="00352B0C"/>
    <w:rsid w:val="00357DE5"/>
    <w:rsid w:val="003624CE"/>
    <w:rsid w:val="003769C2"/>
    <w:rsid w:val="0038315A"/>
    <w:rsid w:val="003A1450"/>
    <w:rsid w:val="003B3495"/>
    <w:rsid w:val="003B4506"/>
    <w:rsid w:val="003E1997"/>
    <w:rsid w:val="003E32BC"/>
    <w:rsid w:val="003F7A85"/>
    <w:rsid w:val="00403C9C"/>
    <w:rsid w:val="00410854"/>
    <w:rsid w:val="00416C50"/>
    <w:rsid w:val="00434232"/>
    <w:rsid w:val="00435285"/>
    <w:rsid w:val="004435E7"/>
    <w:rsid w:val="0045269C"/>
    <w:rsid w:val="00471DD6"/>
    <w:rsid w:val="00472AFB"/>
    <w:rsid w:val="00474010"/>
    <w:rsid w:val="004901AB"/>
    <w:rsid w:val="004A0E8A"/>
    <w:rsid w:val="004B727F"/>
    <w:rsid w:val="004D15D9"/>
    <w:rsid w:val="004D25CA"/>
    <w:rsid w:val="004D397C"/>
    <w:rsid w:val="004D5555"/>
    <w:rsid w:val="004E1843"/>
    <w:rsid w:val="004E1E15"/>
    <w:rsid w:val="005029E9"/>
    <w:rsid w:val="00532CB6"/>
    <w:rsid w:val="0057112F"/>
    <w:rsid w:val="005805B9"/>
    <w:rsid w:val="005871B3"/>
    <w:rsid w:val="00594FE8"/>
    <w:rsid w:val="005A0D38"/>
    <w:rsid w:val="005A1349"/>
    <w:rsid w:val="005B076B"/>
    <w:rsid w:val="005B3F56"/>
    <w:rsid w:val="005B7B56"/>
    <w:rsid w:val="005C690F"/>
    <w:rsid w:val="005D1EB7"/>
    <w:rsid w:val="005D6CD1"/>
    <w:rsid w:val="005E58A1"/>
    <w:rsid w:val="005F7605"/>
    <w:rsid w:val="00603CDE"/>
    <w:rsid w:val="006131C5"/>
    <w:rsid w:val="00624441"/>
    <w:rsid w:val="006320ED"/>
    <w:rsid w:val="00635173"/>
    <w:rsid w:val="006362BA"/>
    <w:rsid w:val="006366FC"/>
    <w:rsid w:val="006400F3"/>
    <w:rsid w:val="006440C1"/>
    <w:rsid w:val="0065153A"/>
    <w:rsid w:val="00655A44"/>
    <w:rsid w:val="00660F07"/>
    <w:rsid w:val="006631B4"/>
    <w:rsid w:val="0066495F"/>
    <w:rsid w:val="00691585"/>
    <w:rsid w:val="006945CB"/>
    <w:rsid w:val="006A530D"/>
    <w:rsid w:val="006A7C45"/>
    <w:rsid w:val="006C1AB3"/>
    <w:rsid w:val="006D275D"/>
    <w:rsid w:val="006E6138"/>
    <w:rsid w:val="006F0E1D"/>
    <w:rsid w:val="006F286C"/>
    <w:rsid w:val="006F3172"/>
    <w:rsid w:val="006F6848"/>
    <w:rsid w:val="006F7279"/>
    <w:rsid w:val="007028D4"/>
    <w:rsid w:val="00711FE0"/>
    <w:rsid w:val="007239F7"/>
    <w:rsid w:val="007453AF"/>
    <w:rsid w:val="00745753"/>
    <w:rsid w:val="007676FF"/>
    <w:rsid w:val="007777E9"/>
    <w:rsid w:val="00796510"/>
    <w:rsid w:val="00797B80"/>
    <w:rsid w:val="00797FE6"/>
    <w:rsid w:val="007A522E"/>
    <w:rsid w:val="007B66F8"/>
    <w:rsid w:val="007B746E"/>
    <w:rsid w:val="007D031E"/>
    <w:rsid w:val="007D35F0"/>
    <w:rsid w:val="007E34A1"/>
    <w:rsid w:val="007E4D7C"/>
    <w:rsid w:val="007E68A0"/>
    <w:rsid w:val="007F52E1"/>
    <w:rsid w:val="00811B20"/>
    <w:rsid w:val="0082317B"/>
    <w:rsid w:val="00823324"/>
    <w:rsid w:val="00823FE0"/>
    <w:rsid w:val="008345B2"/>
    <w:rsid w:val="00846376"/>
    <w:rsid w:val="008647AE"/>
    <w:rsid w:val="00865FF9"/>
    <w:rsid w:val="0086644F"/>
    <w:rsid w:val="0088265E"/>
    <w:rsid w:val="00886D98"/>
    <w:rsid w:val="008934E4"/>
    <w:rsid w:val="00896CDF"/>
    <w:rsid w:val="008A47D9"/>
    <w:rsid w:val="008B27C8"/>
    <w:rsid w:val="008B643F"/>
    <w:rsid w:val="008C6391"/>
    <w:rsid w:val="008E1A90"/>
    <w:rsid w:val="008E22F0"/>
    <w:rsid w:val="008E3EE0"/>
    <w:rsid w:val="008E5D45"/>
    <w:rsid w:val="008F081F"/>
    <w:rsid w:val="008F23B0"/>
    <w:rsid w:val="008F2763"/>
    <w:rsid w:val="008F7540"/>
    <w:rsid w:val="009037E8"/>
    <w:rsid w:val="00904977"/>
    <w:rsid w:val="009251C8"/>
    <w:rsid w:val="009343B5"/>
    <w:rsid w:val="009356F5"/>
    <w:rsid w:val="00943899"/>
    <w:rsid w:val="00945BF3"/>
    <w:rsid w:val="009520A4"/>
    <w:rsid w:val="00952F7D"/>
    <w:rsid w:val="00954A02"/>
    <w:rsid w:val="0095570F"/>
    <w:rsid w:val="009571F1"/>
    <w:rsid w:val="00962575"/>
    <w:rsid w:val="00967824"/>
    <w:rsid w:val="00970FCD"/>
    <w:rsid w:val="0097493A"/>
    <w:rsid w:val="00985910"/>
    <w:rsid w:val="0098797F"/>
    <w:rsid w:val="00990845"/>
    <w:rsid w:val="00991CCB"/>
    <w:rsid w:val="00991D29"/>
    <w:rsid w:val="009950B6"/>
    <w:rsid w:val="009A0B1E"/>
    <w:rsid w:val="009A0E0F"/>
    <w:rsid w:val="009A2EA7"/>
    <w:rsid w:val="009A365D"/>
    <w:rsid w:val="009A4CBF"/>
    <w:rsid w:val="009A5EE2"/>
    <w:rsid w:val="009C0B63"/>
    <w:rsid w:val="009C0C9B"/>
    <w:rsid w:val="009C5957"/>
    <w:rsid w:val="009C5A34"/>
    <w:rsid w:val="009D2F80"/>
    <w:rsid w:val="009D33FE"/>
    <w:rsid w:val="009D3882"/>
    <w:rsid w:val="009F362A"/>
    <w:rsid w:val="009F4760"/>
    <w:rsid w:val="00A0119C"/>
    <w:rsid w:val="00A0319F"/>
    <w:rsid w:val="00A26869"/>
    <w:rsid w:val="00A32520"/>
    <w:rsid w:val="00A359C0"/>
    <w:rsid w:val="00A42D9F"/>
    <w:rsid w:val="00A622F8"/>
    <w:rsid w:val="00A63AEC"/>
    <w:rsid w:val="00A80360"/>
    <w:rsid w:val="00A83D8A"/>
    <w:rsid w:val="00A84252"/>
    <w:rsid w:val="00A861F8"/>
    <w:rsid w:val="00AA0E04"/>
    <w:rsid w:val="00AA2647"/>
    <w:rsid w:val="00AA4911"/>
    <w:rsid w:val="00AA4A6B"/>
    <w:rsid w:val="00AA7B36"/>
    <w:rsid w:val="00AB2075"/>
    <w:rsid w:val="00AB3315"/>
    <w:rsid w:val="00AB783F"/>
    <w:rsid w:val="00AC09A3"/>
    <w:rsid w:val="00AC5931"/>
    <w:rsid w:val="00AC5961"/>
    <w:rsid w:val="00AD1E63"/>
    <w:rsid w:val="00AD3B48"/>
    <w:rsid w:val="00AE0B33"/>
    <w:rsid w:val="00AE392B"/>
    <w:rsid w:val="00AF1ED4"/>
    <w:rsid w:val="00AF50A6"/>
    <w:rsid w:val="00B03679"/>
    <w:rsid w:val="00B07E76"/>
    <w:rsid w:val="00B11CD9"/>
    <w:rsid w:val="00B22F2E"/>
    <w:rsid w:val="00B379AC"/>
    <w:rsid w:val="00B41ADE"/>
    <w:rsid w:val="00B44DAC"/>
    <w:rsid w:val="00B524C6"/>
    <w:rsid w:val="00B65F19"/>
    <w:rsid w:val="00B6772D"/>
    <w:rsid w:val="00B83634"/>
    <w:rsid w:val="00B90A5C"/>
    <w:rsid w:val="00B91AC3"/>
    <w:rsid w:val="00B939A7"/>
    <w:rsid w:val="00B97FFB"/>
    <w:rsid w:val="00BA0FA3"/>
    <w:rsid w:val="00BA7028"/>
    <w:rsid w:val="00BB0AB0"/>
    <w:rsid w:val="00BB5195"/>
    <w:rsid w:val="00BB7140"/>
    <w:rsid w:val="00BC5420"/>
    <w:rsid w:val="00BD1944"/>
    <w:rsid w:val="00BD65BA"/>
    <w:rsid w:val="00BE7AE0"/>
    <w:rsid w:val="00BF032E"/>
    <w:rsid w:val="00BF33B2"/>
    <w:rsid w:val="00BF64F8"/>
    <w:rsid w:val="00BF65C5"/>
    <w:rsid w:val="00C117C8"/>
    <w:rsid w:val="00C11E30"/>
    <w:rsid w:val="00C353A1"/>
    <w:rsid w:val="00C41D2E"/>
    <w:rsid w:val="00C65F64"/>
    <w:rsid w:val="00C70B21"/>
    <w:rsid w:val="00C81201"/>
    <w:rsid w:val="00C81774"/>
    <w:rsid w:val="00C92847"/>
    <w:rsid w:val="00CA0244"/>
    <w:rsid w:val="00CA595A"/>
    <w:rsid w:val="00CB1CFB"/>
    <w:rsid w:val="00CC0B3B"/>
    <w:rsid w:val="00CD39DF"/>
    <w:rsid w:val="00CD5A29"/>
    <w:rsid w:val="00CD7EE0"/>
    <w:rsid w:val="00CE7951"/>
    <w:rsid w:val="00CF1B9D"/>
    <w:rsid w:val="00D01027"/>
    <w:rsid w:val="00D0545E"/>
    <w:rsid w:val="00D308AB"/>
    <w:rsid w:val="00D559EC"/>
    <w:rsid w:val="00D56ECD"/>
    <w:rsid w:val="00D62A7A"/>
    <w:rsid w:val="00D62F95"/>
    <w:rsid w:val="00D6585A"/>
    <w:rsid w:val="00D662DE"/>
    <w:rsid w:val="00D71F11"/>
    <w:rsid w:val="00D8572C"/>
    <w:rsid w:val="00D85E14"/>
    <w:rsid w:val="00D92BFC"/>
    <w:rsid w:val="00DA35A4"/>
    <w:rsid w:val="00DA6936"/>
    <w:rsid w:val="00DB112D"/>
    <w:rsid w:val="00DB30FE"/>
    <w:rsid w:val="00DB3FA5"/>
    <w:rsid w:val="00DC32B3"/>
    <w:rsid w:val="00DC428E"/>
    <w:rsid w:val="00DC6336"/>
    <w:rsid w:val="00DD0D7E"/>
    <w:rsid w:val="00DF66CC"/>
    <w:rsid w:val="00E12E18"/>
    <w:rsid w:val="00E145BD"/>
    <w:rsid w:val="00E34608"/>
    <w:rsid w:val="00E41F4C"/>
    <w:rsid w:val="00E47F17"/>
    <w:rsid w:val="00E52AAD"/>
    <w:rsid w:val="00E57289"/>
    <w:rsid w:val="00E67E49"/>
    <w:rsid w:val="00E72595"/>
    <w:rsid w:val="00E740C8"/>
    <w:rsid w:val="00E8049B"/>
    <w:rsid w:val="00E974B6"/>
    <w:rsid w:val="00EA7ABE"/>
    <w:rsid w:val="00EC0DE0"/>
    <w:rsid w:val="00EC1CA4"/>
    <w:rsid w:val="00EE044A"/>
    <w:rsid w:val="00EE4D40"/>
    <w:rsid w:val="00EE6F66"/>
    <w:rsid w:val="00F01D06"/>
    <w:rsid w:val="00F03899"/>
    <w:rsid w:val="00F07CDA"/>
    <w:rsid w:val="00F1598E"/>
    <w:rsid w:val="00F16C27"/>
    <w:rsid w:val="00F20F3C"/>
    <w:rsid w:val="00F3025B"/>
    <w:rsid w:val="00F30F03"/>
    <w:rsid w:val="00F44529"/>
    <w:rsid w:val="00F455AE"/>
    <w:rsid w:val="00F45C22"/>
    <w:rsid w:val="00F54062"/>
    <w:rsid w:val="00F57C42"/>
    <w:rsid w:val="00F63D1C"/>
    <w:rsid w:val="00F64DBC"/>
    <w:rsid w:val="00F7074D"/>
    <w:rsid w:val="00F725B7"/>
    <w:rsid w:val="00F74BDE"/>
    <w:rsid w:val="00F84AFD"/>
    <w:rsid w:val="00F8568D"/>
    <w:rsid w:val="00F90F73"/>
    <w:rsid w:val="00F92567"/>
    <w:rsid w:val="00FB0AE4"/>
    <w:rsid w:val="00FB7D6A"/>
    <w:rsid w:val="00FD01D3"/>
    <w:rsid w:val="00FD6F58"/>
    <w:rsid w:val="00FE64E1"/>
    <w:rsid w:val="00FF16FF"/>
    <w:rsid w:val="6751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apple-converted-space"/>
    <w:basedOn w:val="8"/>
    <w:uiPriority w:val="0"/>
  </w:style>
  <w:style w:type="character" w:customStyle="1" w:styleId="12">
    <w:name w:val="页眉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2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1232</Words>
  <Characters>1352</Characters>
  <Lines>10</Lines>
  <Paragraphs>2</Paragraphs>
  <TotalTime>682</TotalTime>
  <ScaleCrop>false</ScaleCrop>
  <LinksUpToDate>false</LinksUpToDate>
  <CharactersWithSpaces>1362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2018-09-04T07:24:00Z</dcterms:created>
  <dc:creator>JDY</dc:creator>
  <cp:lastModifiedBy>盼盼</cp:lastModifiedBy>
  <dcterms:modified xsi:type="dcterms:W3CDTF">2022-09-07T08:54:36Z</dcterms:modified>
  <cp:revision>516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901BA5073E96414BB1C6E628446746A2</vt:lpwstr>
  </property>
</Properties>
</file>